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DE EXTENSÃO FAPEPI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EDITAL FAPEPI Nº 000/2022</w:t>
      </w:r>
    </w:p>
    <w:p w:rsidR="00000000" w:rsidDel="00000000" w:rsidP="00000000" w:rsidRDefault="00000000" w:rsidRPr="00000000" w14:paraId="00000003">
      <w:pPr>
        <w:spacing w:after="57" w:before="57" w:line="276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Ações de Extensão FAPEPI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76" w:lineRule="auto"/>
        <w:ind w:left="0" w:right="57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ÁREAS TEMÁTICAS*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1.0" w:type="dxa"/>
        <w:jc w:val="left"/>
        <w:tblInd w:w="173.0" w:type="dxa"/>
        <w:tblLayout w:type="fixed"/>
        <w:tblLook w:val="0000"/>
      </w:tblPr>
      <w:tblGrid>
        <w:gridCol w:w="2153"/>
        <w:gridCol w:w="6858"/>
        <w:tblGridChange w:id="0">
          <w:tblGrid>
            <w:gridCol w:w="2153"/>
            <w:gridCol w:w="6858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TEMÁTICA*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721" w:right="198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DEFINIÇÃO</w:t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COMUNICAÇÃO</w:t>
            </w:r>
          </w:p>
        </w:tc>
        <w:tc>
          <w:tcPr>
            <w:tcBorders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76" w:lineRule="auto"/>
              <w:ind w:left="110" w:right="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Comunicação social; mídia comunitária; comunicação escrita e eletrônica; produção e difusão de material educativo; televisão universitária; rádio universitária; capacitação e qualificação de recursos humanos e de gestores de políticas públicas de comunicação social; cooperação interinstitucional e cooperação internacional na área.</w:t>
            </w:r>
          </w:p>
        </w:tc>
      </w:tr>
      <w:tr>
        <w:trPr>
          <w:cantSplit w:val="0"/>
          <w:trHeight w:val="1361" w:hRule="atLeast"/>
          <w:tblHeader w:val="0"/>
        </w:trPr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CULTURA</w:t>
            </w:r>
          </w:p>
        </w:tc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0" w:right="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Desenvolvimento de cultura; cultura, memória e patrimônio; cultura e memória social; cultura e sociedade; folclore, artesanato e tradições culturais; produção cultural e artistica na área de fotografia, cinema e vídeo; produção cultural e artistica na área de música e dança; produção teatral e circense; rádio universitária; capacitação de gestores de políticas públicas do setor cultural; cooperação interinstitucional e cooperação internacional na área; cultura e memória social.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10" w:right="16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DIREITOS HUMANOS E JUSTIÇA</w:t>
            </w:r>
          </w:p>
        </w:tc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0" w:right="8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Assistência jurídica; capacitação e qualificação de recursos humanos e de gestores de políticas públicas de direitos humanos; cooperação interinstitucional e cooperação internacional na área; direitos de grupos sociais; organizações populares; questão agrária.</w:t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EDUCAÇÃO</w:t>
            </w:r>
          </w:p>
        </w:tc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0" w:right="8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Educação básica; educação e cidadania; educação à distância; educação continuada; educação de jovens e adultos; educação especial; educação infantil; ensino fundamental; ensino médio; incentivo à leitura; capacitação e qualificação de recursos humanos e de gestores de políticas públicas de educação;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3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cooperação interinstitucional e cooperação internacional na área.</w:t>
            </w:r>
          </w:p>
        </w:tc>
      </w:tr>
      <w:tr>
        <w:trPr>
          <w:cantSplit w:val="0"/>
          <w:trHeight w:val="1639" w:hRule="atLeast"/>
          <w:tblHeader w:val="0"/>
        </w:trPr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MEIO-AMBIENTE</w:t>
            </w:r>
          </w:p>
        </w:tc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0" w:right="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Preservação e sustentabilidade do meio ambiente; meio ambiente e desenvolvimento sustentável; desenvolvimento regional sustentável; aspectos de meio ambiente e sustentabilidade do desenvolvimento urbano e do desenvolvimento rural; capacitação e qualificação de recursos humanos e de gestores de políticas públicas de meio ambiente; cooperação interinstitucional e cooperação internacional na área; educação ambiental; gestão de recursos naturais, sistemas integrados para bacias regionais.</w:t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SAÚDE</w:t>
            </w:r>
          </w:p>
        </w:tc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0" w:right="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Promoção à saúde e qualidade de vida; atenção a grupos de pessoas com necessidades especiais; atenção integral à mulher; atenção integral à criança; atenção integral à saúde dos adultos; atenção integral à terceira idade; atenção integral ao adolescente e ao jovem; capacitação e qualificação de recursos humanos e de gestores de políticas públicas</w:t>
              <w:tab/>
              <w:t xml:space="preserve">de saúde;</w:t>
              <w:tab/>
              <w:t xml:space="preserve">cooperação interinstitucional e cooperação internacional na área; desenvolvimento do sistema de saúde; saúde e segurança no trabalho; esporte; lazer e saúde; hospitais e clínicas universitárias; novas endemias e epidemias; saúde da família; uso e dependência de drogas.</w:t>
            </w:r>
          </w:p>
        </w:tc>
      </w:tr>
      <w:tr>
        <w:trPr>
          <w:cantSplit w:val="0"/>
          <w:trHeight w:val="1251" w:hRule="atLeast"/>
          <w:tblHeader w:val="0"/>
        </w:trPr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5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TECNOLOGIA E PRODUÇÃO</w:t>
            </w:r>
          </w:p>
        </w:tc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Transferência de tecnologias apropriadas; empreendedorismo; empresas juniores; inovação tecnológica; polos tecnológicos; capacitação e qualificação de recursos humanos e de  gestores de políticas públicas de ciências e tecnologia; cooperação interinstitucional e cooperação internacional na área; direitos de propriedade e patentes.</w:t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TRABALHO</w:t>
            </w:r>
          </w:p>
        </w:tc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Reforma agrária e trabalho rural; trabalho e inclusão social; capacitação e qualificação de recursos humanos e de gestores de políticas públicas do trabalho; cooperação interinstitucional e cooperação internacional na área; educação profissional; organizações populares para o trabalho; cooperativas populares; questão agrária; saúde e segurança no trabalho; trabalho infantil; turismo e oportunidade de trabalho.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CIÊNCIAS AGRÁRIAS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7c7c7" w:space="0" w:sz="4" w:val="single"/>
              <w:left w:color="c7c7c7" w:space="0" w:sz="4" w:val="single"/>
              <w:bottom w:color="c7c7c7" w:space="0" w:sz="4" w:val="single"/>
              <w:right w:color="c7c7c7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Produção agropecuária sustentável; tecnologias socioambientais de produção agropecuária; integração produção zootécnica com agrícola; produção agroecológica; aquicultura em sistema de recirculação de água (RAS) associada a agricultura; agricultura familiar e camponesa; e estratégias de educação, pesquisa e extensão de prícipios agroecológicos. </w:t>
            </w:r>
          </w:p>
        </w:tc>
      </w:tr>
    </w:tbl>
    <w:p w:rsidR="00000000" w:rsidDel="00000000" w:rsidP="00000000" w:rsidRDefault="00000000" w:rsidRPr="00000000" w14:paraId="00000031">
      <w:pPr>
        <w:spacing w:after="0" w:before="170" w:line="360" w:lineRule="auto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170" w:line="36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II - Territórios de Desenvolvimento do Estado do Piauí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170" w:line="360" w:lineRule="auto"/>
        <w:jc w:val="center"/>
        <w:rPr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POTENCIALIDADES*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after="57" w:before="113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 PLANÍCIE LITORÂNEA (11 municípios)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Pesca e aquicultura. Produção de leite e derivados. Ovinocaprinocultura. Fruticultura orgânica/agricultura irrigada. Beneficiamento de carnaúba e ceras. Turismo de massa (praias e eventos), histórico (Parnaíba), ecológico (Delta) e radical (Delta, Pedra do Sal, Barra Grande). Comércio atacadista e varejista. Serviços (saúde, educação). Polo de produção para o mercado externo (ZPE) . Energia eólica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 COCAIS (22 municípios)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Piscicultura. Ovinocaprinocultura. Avicultura. Agricultura irrigada/fruticultura (São José do Divino, Piripiri, Barras). Produção de grãos – soja, milho, arroz (Piracuruca). Extrativismo vegetal – babaçu, carnaúba. Indústria de vestuário – malharia e lingerie. Artesanato: palha, tecelagem, alumínio, jóias. Mineração: opala e pedras ornamentais. Turismo arqueológico (Sete Cidades), radical (Pedro II e Cachoeira do Urubu), rural e de eventos (Barras, Piripiri, Pedro II).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 CARNAUBAIS (16 municípios)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Açúcar e álcool. Ovinocaprinocultura. Agricultura irrigada/fruticultura. Cultivo de grãos (feijão). Agroindústria (cachaça e rapadura). Extrativismo vegetal – carnaúba. Mineração – pedra mourisca. Indústria de vestuário – jeans. Turismo – ecoturismo (Cânion do Rio Poti), turismo de eventos e gastronômico. Energia eólica (Assunção do Piauí, Buriti dos Montes, São Miguel do Tapuio) – Potencial aproximado de 200 MW. Energia solar – São João da Serra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 VALE DO SAMBITO 15 municípios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Ovinocaprinocultura. Fruticultura irrigada. Apicultura – mel, geléia real, própolis e derivados. Horticultura. Agroindústria de alimentos – doces, queijos e cajuína. Turismo – religioso (Santa Cruz dos Milagres) e turismo rural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 VALE DO RIO GUARIBAS VALE DO RIO GUARIBAS 23 municípios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Ovinocaprinocultura. Apicultura – mel, geléia real, própolis e derivados . Cajucultura – processamento de castanha, doce e cajuína. Mandiocultura. Mineração – mármore, granito, água mineral, calcário/cimento, gesso, argila, ferro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 CHAPADA VALE DO RIO ITAIM (16 municípios)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Ovinocaprinocultura. Apicultura – mel, geléia real, própolis e derivados. Cajucultura – processamento de castanha, doce e cajuína. Mandiocultura. Mineração – mármore, granito, água mineral, calcário/cimento, gesso, argila, ferro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 VALE DO CANINDÉ (17 municípios)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Ovinocaprinocultura. Apicultura – mel, geléia real, própolis e derivados. Cajucultura – processamento de castanha, doce e cajuína. Fruticultura irrigada. Mineração – argila. Turismo – religioso e histórico (Oeiras)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8. SERRA DA CAPIVARA 18 municípios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Ovinocaprinocultura. Apicultura – mel, geléia real, própolis e derivados. Fruticultura irrigada. Cajucultura – processamento de castanha, doce e cajuína. Mandiocultura. Mineração – níquel e ferro. Turismo – arqueológico e de aventura nos Parques Nacionais da Serra da Capivara e Serra das Confusões. Energia solar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9. CHAPADA DAS MANGABEIRAS 24 municípios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Pecuária de corte – bovinos. Agricultura de alto rendimento – soja, algodão, milho e arroz. Fruticultura/agricultura irrigada. Energia solar. Mineração – calcário para correção de solo. Comércio e serviços. Turismo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 ENTRE RIOS (31 municípios)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Turismo de negócios e eventos. Polos de saúde e educação. Produção de hortifrutis (Teresina). Produção de açúcar e etanol. Produção de aves e ovos. Extrativismo vegetal: babaçu. Agroindústria: cajuína, beneficiamento de castanha de caju, produção de doces. Indústrias: cerâmica, vestuário, química, bebidas e alimentos, móveis em madeira e metal. Comércio e serviços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11. VALE DOS RIOS PIAUÍ E ITAUEIRAS  (19 municípios)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Fruticultura irrigada. Pecuária de corte. Ovinocaprinocultura. Energia solar (Ribeira do Piauí). Comércio, serviços. Turismo de eventos (Floriano)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 TABULEIROS DO ALTO PARNAÍBA (12 municípios)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57" w:before="113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Potencialidades: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Pecuária de corte – bovinos. Agricultura de alto rendimento – soja, algodão, milho e arroz. Mineração: calcário para correção de solo. Comércio e serviços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</w:t>
      </w:r>
    </w:p>
    <w:p w:rsidR="00000000" w:rsidDel="00000000" w:rsidP="00000000" w:rsidRDefault="00000000" w:rsidRPr="00000000" w14:paraId="0000004F">
      <w:pPr>
        <w:jc w:val="left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8"/>
          <w:szCs w:val="18"/>
          <w:rtl w:val="0"/>
        </w:rPr>
        <w:t xml:space="preserve">*Conforme definido no item 1 do edital (Objetivo Geral)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